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lang w:val="en-US" w:eastAsia="zh-CN"/>
        </w:rPr>
      </w:pPr>
      <w:r>
        <w:rPr>
          <w:rFonts w:hint="eastAsia" w:ascii="方正小标宋_GBK" w:hAnsi="方正小标宋_GBK" w:eastAsia="方正小标宋_GBK" w:cs="方正小标宋_GBK"/>
          <w:bCs/>
          <w:color w:val="000000" w:themeColor="text1"/>
          <w:sz w:val="44"/>
          <w:szCs w:val="44"/>
          <w:lang w:val="en-US" w:eastAsia="zh-CN"/>
        </w:rPr>
        <w:t>2025-2026年机房硬件运维服务</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kern w:val="2"/>
          <w:sz w:val="32"/>
          <w:szCs w:val="32"/>
          <w:lang w:val="en-US" w:eastAsia="zh-CN" w:bidi="ar-SA"/>
        </w:rPr>
        <w:t>为确保重庆市小微融资担保有限公司水土浪潮云计算机中心机房硬件设备及信息系统安全、正常、稳定运行，拟请一家专业的硬件运营商提供专业的运维服务，</w:t>
      </w:r>
      <w:r>
        <w:rPr>
          <w:rFonts w:hint="eastAsia" w:ascii="方正仿宋_GBK" w:hAnsi="方正仿宋_GBK" w:eastAsia="方正仿宋_GBK" w:cs="方正仿宋_GBK"/>
          <w:bCs/>
          <w:sz w:val="32"/>
          <w:szCs w:val="32"/>
          <w:lang w:val="en-US" w:eastAsia="zh-CN"/>
        </w:rPr>
        <w:t>在此，诚邀符合条件的运营商参与，现将有关事项通告如下：</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一、采购需求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bCs/>
          <w:sz w:val="32"/>
          <w:szCs w:val="32"/>
          <w:lang w:val="en-US" w:eastAsia="zh-CN"/>
        </w:rPr>
        <w:t>专业的硬件运营商</w:t>
      </w:r>
      <w:r>
        <w:rPr>
          <w:rFonts w:hint="eastAsia" w:ascii="方正仿宋_GBK" w:hAnsi="方正仿宋_GBK" w:eastAsia="方正仿宋_GBK" w:cs="方正仿宋_GBK"/>
          <w:bCs/>
          <w:sz w:val="32"/>
          <w:szCs w:val="32"/>
        </w:rPr>
        <w:t>一家</w:t>
      </w:r>
      <w:r>
        <w:rPr>
          <w:rFonts w:hint="eastAsia" w:ascii="方正仿宋_GBK" w:hAnsi="方正仿宋_GBK" w:eastAsia="方正仿宋_GBK" w:cs="方正仿宋_GBK"/>
          <w:bCs/>
          <w:sz w:val="32"/>
          <w:szCs w:val="32"/>
          <w:lang w:eastAsia="zh-CN"/>
        </w:rPr>
        <w:t>，</w:t>
      </w:r>
      <w:r>
        <w:rPr>
          <w:rFonts w:hint="eastAsia" w:ascii="方正仿宋_GBK" w:eastAsia="方正仿宋_GBK" w:hAnsiTheme="minorHAnsi" w:cstheme="minorBidi"/>
          <w:sz w:val="32"/>
          <w:szCs w:val="32"/>
          <w:lang w:val="en-US" w:eastAsia="zh-CN"/>
        </w:rPr>
        <w:t>合作时限：1年。</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限价</w:t>
      </w:r>
      <w:r>
        <w:rPr>
          <w:rFonts w:hint="eastAsia" w:ascii="方正仿宋_GBK" w:hAnsi="方正仿宋_GBK" w:eastAsia="方正仿宋_GBK" w:cs="方正仿宋_GBK"/>
          <w:bCs/>
          <w:sz w:val="32"/>
          <w:szCs w:val="32"/>
          <w:lang w:val="en-US" w:eastAsia="zh-CN"/>
        </w:rPr>
        <w:t>20</w:t>
      </w:r>
      <w:r>
        <w:rPr>
          <w:rFonts w:hint="eastAsia" w:ascii="方正仿宋_GBK" w:hAnsi="方正仿宋_GBK" w:eastAsia="方正仿宋_GBK" w:cs="方正仿宋_GBK"/>
          <w:bCs/>
          <w:sz w:val="32"/>
          <w:szCs w:val="32"/>
        </w:rPr>
        <w:t>0000元（大写：</w:t>
      </w:r>
      <w:r>
        <w:rPr>
          <w:rFonts w:hint="eastAsia" w:ascii="方正仿宋_GBK" w:hAnsi="方正仿宋_GBK" w:eastAsia="方正仿宋_GBK" w:cs="方正仿宋_GBK"/>
          <w:bCs/>
          <w:sz w:val="32"/>
          <w:szCs w:val="32"/>
          <w:lang w:val="en-US" w:eastAsia="zh-CN"/>
        </w:rPr>
        <w:t>贰拾</w:t>
      </w:r>
      <w:r>
        <w:rPr>
          <w:rFonts w:hint="eastAsia" w:ascii="方正仿宋_GBK" w:hAnsi="方正仿宋_GBK" w:eastAsia="方正仿宋_GBK" w:cs="方正仿宋_GBK"/>
          <w:bCs/>
          <w:sz w:val="32"/>
          <w:szCs w:val="32"/>
        </w:rPr>
        <w:t>万元整）</w:t>
      </w:r>
      <w:r>
        <w:rPr>
          <w:rFonts w:hint="eastAsia" w:ascii="方正仿宋_GBK" w:hAnsi="方正仿宋_GBK" w:eastAsia="方正仿宋_GBK" w:cs="方正仿宋_GBK"/>
          <w:bCs/>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采购资质要</w:t>
      </w:r>
      <w:r>
        <w:rPr>
          <w:rFonts w:hint="eastAsia" w:ascii="方正黑体_GBK" w:hAnsi="黑体" w:eastAsia="方正黑体_GBK" w:cstheme="minorBidi"/>
          <w:sz w:val="32"/>
          <w:szCs w:val="32"/>
        </w:rPr>
        <w:t>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0" w:name="_Toc376418219"/>
      <w:bookmarkStart w:id="1" w:name="_Toc179714295"/>
      <w:bookmarkStart w:id="2" w:name="_Toc102227316"/>
      <w:r>
        <w:rPr>
          <w:rFonts w:hint="eastAsia" w:ascii="方正仿宋_GBK" w:eastAsia="方正仿宋_GBK"/>
          <w:sz w:val="32"/>
          <w:szCs w:val="32"/>
          <w:lang w:val="en-US" w:eastAsia="zh-CN"/>
        </w:rPr>
        <w:t>（一）具备ISO20000 IT服务管理体系认证。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（二）具备ISO270001信息安全管理体系认证。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（三）具备ITSS运行维护符合性证书。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方正仿宋_GBK" w:eastAsia="方正仿宋_GBK"/>
          <w:sz w:val="32"/>
          <w:szCs w:val="32"/>
          <w:lang w:val="en-US" w:eastAsia="zh-CN"/>
        </w:rPr>
        <w:t>（四）具备ISO9000质量管理体系认证证书。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四、采购项目服务要求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（一）运维服务目标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确保公司在水土浪潮云计算机中心硬件设备及信息系统安全、正常、稳定运行（机房设备清单见附件）。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（二）运维服务地点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水土浪潮云计算机中心1-2机房。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（三）运维服务内容（包括但不限于）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1.机房环境和设备定期巡检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定期对机房内的所有硬件设备进行日常巡检，及时发现存在的设备故障。对机房环境和设备进行全年7*24小时的电话支持服务，安排专人在机房现场驻场。机房环境巡检内容包含机房的温度、湿度、机柜电源。设备巡检为外观健康状态巡检，包含设备健康状态指示灯、硬盘、电源以及风扇运行状态等。对巡检结果每天行程检查记录表，《硬件检查记录表》每月进行汇总提交，并作为付款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3" w:name="_Toc166075050"/>
      <w:r>
        <w:rPr>
          <w:rFonts w:hint="eastAsia" w:ascii="方正仿宋_GBK" w:eastAsia="方正仿宋_GBK"/>
          <w:sz w:val="32"/>
          <w:szCs w:val="32"/>
          <w:lang w:val="en-US" w:eastAsia="zh-CN"/>
        </w:rPr>
        <w:t>2.硬件故障处理</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配合甲方进行硬件故障诊断分析、并配合相关厂商进行备件更换及维修。对发现的硬件故障由专业工程师（网络工程师或系统工程师）进行诊断分析，确定故障部件。根据设备在保状态联系维保厂商或由甲方采购备件后由我司进行更换、安装、配置，确保硬件设备正常，同时协调处理保障系统运行正常。故障处理后根据处理过程提供硬件故障处理服务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4" w:name="_Toc166075051"/>
      <w:r>
        <w:rPr>
          <w:rFonts w:hint="eastAsia" w:ascii="方正仿宋_GBK" w:eastAsia="方正仿宋_GBK"/>
          <w:sz w:val="32"/>
          <w:szCs w:val="32"/>
          <w:lang w:val="en-US" w:eastAsia="zh-CN"/>
        </w:rPr>
        <w:t>3.硬件设备月度巡检</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每月由专业工程师对所有的硬件设备进行深度的巡检。通过硬件管理接口或管理页面对设备的资源使用情况（CPU、内存等）、设备运行日志、告警日志信息进行深度分析。根据巡检结果即使发现潜在的设备运行风险，并给出优化建议，根据巡检内容形成书面巡检报告，《硬件运维巡检报告》每月向甲方提交，并作为付款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4.征信报数系统巡检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工作日对征信报数系统涉及的服务器、操作系统、网络安全设备进行单独巡检，及时发现存在的故障和异常，检查包含设备健康状态指示灯、硬盘、电源以及风扇运行状态并检查日志情况。对巡检结果每天形成检查记录表《征信报数系统检查记录》进行汇总提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5" w:name="_Toc166075052"/>
      <w:r>
        <w:rPr>
          <w:rFonts w:hint="eastAsia" w:ascii="方正仿宋_GBK" w:eastAsia="方正仿宋_GBK"/>
          <w:sz w:val="32"/>
          <w:szCs w:val="32"/>
          <w:lang w:val="en-US" w:eastAsia="zh-CN"/>
        </w:rPr>
        <w:t>5.网络安全设备运维</w:t>
      </w:r>
      <w:bookmarkEnd w:id="5"/>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提供1名专业高级网络工程师负责项目的所有网络安全设备的日常管理，包含网络交换机、防火墙、VPN、WAF、堡垒机、网闸和审计设备。配合软件厂商业务系统建设进行网络安全配置，根据运行风险提出优化整改方案并结合实际情况进行优化。</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K" w:eastAsia="方正仿宋_GBK"/>
          <w:sz w:val="32"/>
          <w:szCs w:val="32"/>
          <w:lang w:val="en-US" w:eastAsia="zh-CN"/>
        </w:rPr>
      </w:pPr>
      <w:bookmarkStart w:id="6" w:name="_Toc166075053"/>
      <w:r>
        <w:rPr>
          <w:rFonts w:hint="eastAsia" w:ascii="方正仿宋_GBK" w:eastAsia="方正仿宋_GBK"/>
          <w:sz w:val="32"/>
          <w:szCs w:val="32"/>
          <w:lang w:val="en-US" w:eastAsia="zh-CN"/>
        </w:rPr>
        <w:t>6.信息化运维管理体系建设服务</w:t>
      </w:r>
      <w:bookmarkEnd w:id="6"/>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按照国家信息安全等级保护有关规定和 ITSS运维技术标准及规范，配合甲方建立和健全相应运维管理制度、规范、标准、流程等完整的运维管理体系，确保甲方数据中心机房稳定运行。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7" w:name="_Toc166075054"/>
      <w:r>
        <w:rPr>
          <w:rFonts w:hint="eastAsia" w:ascii="方正仿宋_GBK" w:eastAsia="方正仿宋_GBK"/>
          <w:sz w:val="32"/>
          <w:szCs w:val="32"/>
          <w:lang w:val="en-US" w:eastAsia="zh-CN"/>
        </w:rPr>
        <w:t>7.IT设备管理支持</w:t>
      </w:r>
      <w:bookmarkEnd w:id="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加强对机房硬件设备物理资产的管理，形成标准的设备清单和配置信息台账，每年进行一次固定资产盘点。根据甲方信息化建设需求，及时配合完成IT设备的临时上下架和标准布线（不包含耗材）。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8" w:name="_Toc166075055"/>
      <w:r>
        <w:rPr>
          <w:rFonts w:hint="eastAsia" w:ascii="方正仿宋_GBK" w:eastAsia="方正仿宋_GBK"/>
          <w:sz w:val="32"/>
          <w:szCs w:val="32"/>
          <w:lang w:val="en-US" w:eastAsia="zh-CN"/>
        </w:rPr>
        <w:t>8.二线专家支持服务</w:t>
      </w:r>
      <w:bookmarkEnd w:id="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在遇到重大故障和复杂技术问题时，组织专家团队参与故障分析处理。必要时到现场提供技术服务。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bookmarkStart w:id="9" w:name="_Toc166075056"/>
      <w:r>
        <w:rPr>
          <w:rFonts w:hint="eastAsia" w:ascii="方正仿宋_GBK" w:eastAsia="方正仿宋_GBK"/>
          <w:sz w:val="32"/>
          <w:szCs w:val="32"/>
          <w:lang w:val="en-US" w:eastAsia="zh-CN"/>
        </w:rPr>
        <w:t>9.故障处理时间</w:t>
      </w:r>
      <w:bookmarkEnd w:id="9"/>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出现故障后乙方应在10分钟内对发现的故障进行响应，并进入故障处理流程。当本项目范围内系统出现故障，如现场工程师不能解决时，乙方应急处理团队应在2小时内到达现场，并在到达现场后的8小时内排除故障，恢复系统。</w:t>
      </w:r>
    </w:p>
    <w:bookmarkEnd w:id="0"/>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1760" w:firstLineChars="400"/>
        <w:jc w:val="left"/>
        <w:textAlignment w:val="auto"/>
        <w:outlineLvl w:val="9"/>
        <w:rPr>
          <w:rFonts w:hint="eastAsia" w:ascii="方正黑体简体" w:hAnsi="方正黑体简体" w:eastAsia="方正黑体简体" w:cs="方正黑体简体"/>
          <w:snapToGrid/>
          <w:color w:val="auto"/>
          <w:kern w:val="2"/>
          <w:sz w:val="44"/>
          <w:szCs w:val="44"/>
          <w:lang w:val="en-US" w:eastAsia="zh-CN"/>
        </w:rPr>
      </w:pP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1760" w:firstLineChars="400"/>
        <w:jc w:val="left"/>
        <w:textAlignment w:val="auto"/>
        <w:outlineLvl w:val="9"/>
        <w:rPr>
          <w:rFonts w:hint="eastAsia" w:ascii="方正黑体简体" w:hAnsi="方正黑体简体" w:eastAsia="方正黑体简体" w:cs="方正黑体简体"/>
          <w:snapToGrid/>
          <w:color w:val="auto"/>
          <w:kern w:val="2"/>
          <w:sz w:val="44"/>
          <w:szCs w:val="44"/>
          <w:lang w:val="en-US" w:eastAsia="zh-CN"/>
        </w:rPr>
      </w:pPr>
      <w:r>
        <w:rPr>
          <w:rFonts w:hint="eastAsia" w:ascii="方正黑体简体" w:hAnsi="方正黑体简体" w:eastAsia="方正黑体简体" w:cs="方正黑体简体"/>
          <w:snapToGrid/>
          <w:color w:val="auto"/>
          <w:kern w:val="2"/>
          <w:sz w:val="44"/>
          <w:szCs w:val="44"/>
          <w:lang w:val="en-US" w:eastAsia="zh-CN"/>
        </w:rPr>
        <w:t>机房硬件运维服务商评分表</w:t>
      </w:r>
    </w:p>
    <w:p>
      <w:pPr>
        <w:rPr>
          <w:rFonts w:hint="eastAsia"/>
          <w:lang w:val="en-US" w:eastAsia="zh-CN"/>
        </w:rPr>
      </w:pPr>
    </w:p>
    <w:tbl>
      <w:tblPr>
        <w:tblStyle w:val="16"/>
        <w:tblW w:w="96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100"/>
        <w:gridCol w:w="948"/>
        <w:gridCol w:w="5606"/>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9"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评分因素及权重</w:t>
            </w: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分值</w:t>
            </w:r>
          </w:p>
        </w:tc>
        <w:tc>
          <w:tcPr>
            <w:tcW w:w="5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评分标准</w:t>
            </w:r>
          </w:p>
        </w:tc>
        <w:tc>
          <w:tcPr>
            <w:tcW w:w="9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988"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100"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报价</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48"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6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取有效的报价的平均价为评审基准价，按照下列公式计算每个报价人的价格得分。</w:t>
            </w:r>
          </w:p>
        </w:tc>
        <w:tc>
          <w:tcPr>
            <w:tcW w:w="988"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偏差率计算方式</w:t>
            </w:r>
          </w:p>
        </w:tc>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4"/>
                <w:rFonts w:hint="eastAsia" w:ascii="方正仿宋_GBK" w:hAnsi="方正仿宋_GBK" w:eastAsia="方正仿宋_GBK" w:cs="方正仿宋_GBK"/>
                <w:sz w:val="21"/>
                <w:szCs w:val="21"/>
                <w:lang w:val="en-US" w:eastAsia="zh-CN" w:bidi="ar"/>
              </w:rPr>
              <w:t>偏差率</w:t>
            </w:r>
            <w:r>
              <w:rPr>
                <w:rStyle w:val="23"/>
                <w:rFonts w:hint="eastAsia" w:ascii="方正仿宋_GBK" w:hAnsi="方正仿宋_GBK" w:eastAsia="方正仿宋_GBK" w:cs="方正仿宋_GBK"/>
                <w:sz w:val="21"/>
                <w:szCs w:val="21"/>
                <w:lang w:val="en-US" w:eastAsia="zh-CN" w:bidi="ar"/>
              </w:rPr>
              <w:t>=100%</w:t>
            </w:r>
            <w:r>
              <w:rPr>
                <w:rStyle w:val="24"/>
                <w:rFonts w:hint="eastAsia" w:ascii="方正仿宋_GBK" w:hAnsi="方正仿宋_GBK" w:eastAsia="方正仿宋_GBK" w:cs="方正仿宋_GBK"/>
                <w:sz w:val="21"/>
                <w:szCs w:val="21"/>
                <w:lang w:val="en-US" w:eastAsia="zh-CN" w:bidi="ar"/>
              </w:rPr>
              <w:t>×（应答人的应答总报价</w:t>
            </w:r>
            <w:r>
              <w:rPr>
                <w:rStyle w:val="23"/>
                <w:rFonts w:hint="eastAsia" w:ascii="方正仿宋_GBK" w:hAnsi="方正仿宋_GBK" w:eastAsia="方正仿宋_GBK" w:cs="方正仿宋_GBK"/>
                <w:sz w:val="21"/>
                <w:szCs w:val="21"/>
                <w:lang w:val="en-US" w:eastAsia="zh-CN" w:bidi="ar"/>
              </w:rPr>
              <w:t>-</w:t>
            </w:r>
            <w:r>
              <w:rPr>
                <w:rStyle w:val="24"/>
                <w:rFonts w:hint="eastAsia" w:ascii="方正仿宋_GBK" w:hAnsi="方正仿宋_GBK" w:eastAsia="方正仿宋_GBK" w:cs="方正仿宋_GBK"/>
                <w:sz w:val="21"/>
                <w:szCs w:val="21"/>
                <w:lang w:val="en-US" w:eastAsia="zh-CN" w:bidi="ar"/>
              </w:rPr>
              <w:t>评审基准价）</w:t>
            </w:r>
            <w:r>
              <w:rPr>
                <w:rStyle w:val="23"/>
                <w:rFonts w:hint="eastAsia" w:ascii="方正仿宋_GBK" w:hAnsi="方正仿宋_GBK" w:eastAsia="方正仿宋_GBK" w:cs="方正仿宋_GBK"/>
                <w:sz w:val="21"/>
                <w:szCs w:val="21"/>
                <w:lang w:val="en-US" w:eastAsia="zh-CN" w:bidi="ar"/>
              </w:rPr>
              <w:t>/</w:t>
            </w:r>
            <w:r>
              <w:rPr>
                <w:rStyle w:val="24"/>
                <w:rFonts w:hint="eastAsia" w:ascii="方正仿宋_GBK" w:hAnsi="方正仿宋_GBK" w:eastAsia="方正仿宋_GBK" w:cs="方正仿宋_GBK"/>
                <w:sz w:val="21"/>
                <w:szCs w:val="21"/>
                <w:lang w:val="en-US" w:eastAsia="zh-CN" w:bidi="ar"/>
              </w:rPr>
              <w:t>评审基准价。（以上计算取小数点后两位，第三位四舍五入。应答报价得分计算方式）</w:t>
            </w:r>
          </w:p>
        </w:tc>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lang w:val="en-US"/>
              </w:rPr>
            </w:pPr>
            <w:r>
              <w:rPr>
                <w:rStyle w:val="24"/>
                <w:rFonts w:hint="eastAsia" w:ascii="方正仿宋_GBK" w:hAnsi="方正仿宋_GBK" w:eastAsia="方正仿宋_GBK" w:cs="方正仿宋_GBK"/>
                <w:sz w:val="21"/>
                <w:szCs w:val="21"/>
                <w:lang w:val="en-US" w:eastAsia="zh-CN" w:bidi="ar"/>
              </w:rPr>
              <w:t>应答报价等于评审基准价得满分</w:t>
            </w:r>
            <w:r>
              <w:rPr>
                <w:rStyle w:val="23"/>
                <w:rFonts w:hint="eastAsia" w:ascii="方正仿宋_GBK" w:hAnsi="方正仿宋_GBK" w:eastAsia="方正仿宋_GBK" w:cs="方正仿宋_GBK"/>
                <w:sz w:val="21"/>
                <w:szCs w:val="21"/>
                <w:lang w:val="en-US" w:eastAsia="zh-CN" w:bidi="ar"/>
              </w:rPr>
              <w:t>30</w:t>
            </w:r>
            <w:r>
              <w:rPr>
                <w:rStyle w:val="24"/>
                <w:rFonts w:hint="eastAsia" w:ascii="方正仿宋_GBK" w:hAnsi="方正仿宋_GBK" w:eastAsia="方正仿宋_GBK" w:cs="方正仿宋_GBK"/>
                <w:sz w:val="21"/>
                <w:szCs w:val="21"/>
                <w:lang w:val="en-US" w:eastAsia="zh-CN" w:bidi="ar"/>
              </w:rPr>
              <w:t>分。在此基础上，应答报价与评审基准价相比，每高于评审基准价1</w:t>
            </w:r>
            <w:r>
              <w:rPr>
                <w:rStyle w:val="23"/>
                <w:rFonts w:hint="eastAsia" w:ascii="方正仿宋_GBK" w:hAnsi="方正仿宋_GBK" w:eastAsia="方正仿宋_GBK" w:cs="方正仿宋_GBK"/>
                <w:sz w:val="21"/>
                <w:szCs w:val="21"/>
                <w:lang w:val="en-US" w:eastAsia="zh-CN" w:bidi="ar"/>
              </w:rPr>
              <w:t>%</w:t>
            </w:r>
            <w:r>
              <w:rPr>
                <w:rStyle w:val="24"/>
                <w:rFonts w:hint="eastAsia" w:ascii="方正仿宋_GBK" w:hAnsi="方正仿宋_GBK" w:eastAsia="方正仿宋_GBK" w:cs="方正仿宋_GBK"/>
                <w:sz w:val="21"/>
                <w:szCs w:val="21"/>
                <w:lang w:val="en-US" w:eastAsia="zh-CN" w:bidi="ar"/>
              </w:rPr>
              <w:t>，扣减</w:t>
            </w:r>
            <w:r>
              <w:rPr>
                <w:rStyle w:val="23"/>
                <w:rFonts w:hint="eastAsia" w:ascii="方正仿宋_GBK" w:hAnsi="方正仿宋_GBK" w:eastAsia="方正仿宋_GBK" w:cs="方正仿宋_GBK"/>
                <w:sz w:val="21"/>
                <w:szCs w:val="21"/>
                <w:lang w:val="en-US" w:eastAsia="zh-CN" w:bidi="ar"/>
              </w:rPr>
              <w:t>1</w:t>
            </w:r>
            <w:r>
              <w:rPr>
                <w:rStyle w:val="24"/>
                <w:rFonts w:hint="eastAsia" w:ascii="方正仿宋_GBK" w:hAnsi="方正仿宋_GBK" w:eastAsia="方正仿宋_GBK" w:cs="方正仿宋_GBK"/>
                <w:sz w:val="21"/>
                <w:szCs w:val="21"/>
                <w:lang w:val="en-US" w:eastAsia="zh-CN" w:bidi="ar"/>
              </w:rPr>
              <w:t>分，最多扣5分；每低于评审基准价</w:t>
            </w:r>
            <w:r>
              <w:rPr>
                <w:rStyle w:val="23"/>
                <w:rFonts w:hint="eastAsia" w:ascii="方正仿宋_GBK" w:hAnsi="方正仿宋_GBK" w:eastAsia="方正仿宋_GBK" w:cs="方正仿宋_GBK"/>
                <w:sz w:val="21"/>
                <w:szCs w:val="21"/>
                <w:lang w:val="en-US" w:eastAsia="zh-CN" w:bidi="ar"/>
              </w:rPr>
              <w:t>1%</w:t>
            </w:r>
            <w:r>
              <w:rPr>
                <w:rStyle w:val="24"/>
                <w:rFonts w:hint="eastAsia" w:ascii="方正仿宋_GBK" w:hAnsi="方正仿宋_GBK" w:eastAsia="方正仿宋_GBK" w:cs="方正仿宋_GBK"/>
                <w:sz w:val="21"/>
                <w:szCs w:val="21"/>
                <w:lang w:val="en-US" w:eastAsia="zh-CN" w:bidi="ar"/>
              </w:rPr>
              <w:t>，扣减1分，最多扣5分。未到达扣分基准率的不用扣分。</w:t>
            </w:r>
          </w:p>
        </w:tc>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988"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按插入法计算得分，以上计算取小数点后两位，第三位四舍五入。</w:t>
            </w:r>
          </w:p>
        </w:tc>
        <w:tc>
          <w:tcPr>
            <w:tcW w:w="988"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8"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技术部分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6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988"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4"/>
                <w:rFonts w:hint="eastAsia" w:ascii="方正仿宋_GBK" w:hAnsi="方正仿宋_GBK" w:eastAsia="方正仿宋_GBK" w:cs="方正仿宋_GBK"/>
                <w:sz w:val="21"/>
                <w:szCs w:val="21"/>
                <w:lang w:val="en-US" w:eastAsia="zh-CN" w:bidi="ar"/>
              </w:rPr>
            </w:pPr>
            <w:r>
              <w:rPr>
                <w:rStyle w:val="24"/>
                <w:rFonts w:hint="eastAsia" w:ascii="方正仿宋_GBK" w:hAnsi="方正仿宋_GBK" w:eastAsia="方正仿宋_GBK" w:cs="方正仿宋_GBK"/>
                <w:sz w:val="21"/>
                <w:szCs w:val="21"/>
                <w:lang w:val="en-US" w:eastAsia="zh-CN" w:bidi="ar"/>
              </w:rPr>
              <w:t>（一）具备ISO20000 IT服务管理体系认证，得10分，未有不得分。</w:t>
            </w:r>
          </w:p>
          <w:p>
            <w:pPr>
              <w:keepNext w:val="0"/>
              <w:keepLines w:val="0"/>
              <w:widowControl/>
              <w:suppressLineNumbers w:val="0"/>
              <w:jc w:val="left"/>
              <w:textAlignment w:val="center"/>
              <w:rPr>
                <w:rStyle w:val="24"/>
                <w:rFonts w:hint="eastAsia" w:ascii="方正仿宋_GBK" w:hAnsi="方正仿宋_GBK" w:eastAsia="方正仿宋_GBK" w:cs="方正仿宋_GBK"/>
                <w:sz w:val="21"/>
                <w:szCs w:val="21"/>
                <w:lang w:val="en-US" w:eastAsia="zh-CN" w:bidi="ar"/>
              </w:rPr>
            </w:pPr>
            <w:r>
              <w:rPr>
                <w:rStyle w:val="24"/>
                <w:rFonts w:hint="eastAsia" w:ascii="方正仿宋_GBK" w:hAnsi="方正仿宋_GBK" w:eastAsia="方正仿宋_GBK" w:cs="方正仿宋_GBK"/>
                <w:sz w:val="21"/>
                <w:szCs w:val="21"/>
                <w:lang w:val="en-US" w:eastAsia="zh-CN" w:bidi="ar"/>
              </w:rPr>
              <w:t>（二）具备ISO270001信息安全管理体系认证，得10分，未有不得分。</w:t>
            </w:r>
          </w:p>
          <w:p>
            <w:pPr>
              <w:keepNext w:val="0"/>
              <w:keepLines w:val="0"/>
              <w:widowControl/>
              <w:suppressLineNumbers w:val="0"/>
              <w:jc w:val="left"/>
              <w:textAlignment w:val="center"/>
              <w:rPr>
                <w:rStyle w:val="24"/>
                <w:rFonts w:hint="eastAsia" w:ascii="方正仿宋_GBK" w:hAnsi="方正仿宋_GBK" w:eastAsia="方正仿宋_GBK" w:cs="方正仿宋_GBK"/>
                <w:sz w:val="21"/>
                <w:szCs w:val="21"/>
                <w:lang w:val="en-US" w:eastAsia="zh-CN" w:bidi="ar"/>
              </w:rPr>
            </w:pPr>
            <w:r>
              <w:rPr>
                <w:rStyle w:val="24"/>
                <w:rFonts w:hint="eastAsia" w:ascii="方正仿宋_GBK" w:hAnsi="方正仿宋_GBK" w:eastAsia="方正仿宋_GBK" w:cs="方正仿宋_GBK"/>
                <w:sz w:val="21"/>
                <w:szCs w:val="21"/>
                <w:lang w:val="en-US" w:eastAsia="zh-CN" w:bidi="ar"/>
              </w:rPr>
              <w:t>（三）具备ITSS运行维护符合性证书，得10分，未有不得分。</w:t>
            </w:r>
          </w:p>
          <w:p>
            <w:pPr>
              <w:keepNext w:val="0"/>
              <w:keepLines w:val="0"/>
              <w:widowControl/>
              <w:suppressLineNumbers w:val="0"/>
              <w:jc w:val="left"/>
              <w:textAlignment w:val="center"/>
              <w:rPr>
                <w:rStyle w:val="24"/>
                <w:rFonts w:hint="eastAsia" w:ascii="方正仿宋_GBK" w:hAnsi="方正仿宋_GBK" w:eastAsia="方正仿宋_GBK" w:cs="方正仿宋_GBK"/>
                <w:sz w:val="21"/>
                <w:szCs w:val="21"/>
                <w:lang w:val="en-US" w:eastAsia="zh-CN" w:bidi="ar"/>
              </w:rPr>
            </w:pPr>
            <w:r>
              <w:rPr>
                <w:rStyle w:val="24"/>
                <w:rFonts w:hint="eastAsia" w:ascii="方正仿宋_GBK" w:hAnsi="方正仿宋_GBK" w:eastAsia="方正仿宋_GBK" w:cs="方正仿宋_GBK"/>
                <w:sz w:val="21"/>
                <w:szCs w:val="21"/>
                <w:lang w:val="en-US" w:eastAsia="zh-CN" w:bidi="ar"/>
              </w:rPr>
              <w:t>（四）具备ISO9000质量管理体系认证证书，得10分，未有不得分。</w:t>
            </w:r>
          </w:p>
          <w:p>
            <w:pPr>
              <w:keepNext w:val="0"/>
              <w:keepLines w:val="0"/>
              <w:widowControl/>
              <w:suppressLineNumbers w:val="0"/>
              <w:jc w:val="left"/>
              <w:textAlignment w:val="center"/>
              <w:rPr>
                <w:rStyle w:val="24"/>
                <w:rFonts w:hint="eastAsia" w:ascii="方正仿宋_GBK" w:hAnsi="方正仿宋_GBK" w:eastAsia="方正仿宋_GBK" w:cs="方正仿宋_GBK"/>
                <w:sz w:val="21"/>
                <w:szCs w:val="21"/>
                <w:lang w:val="en-US" w:eastAsia="zh-CN" w:bidi="ar"/>
              </w:rPr>
            </w:pPr>
            <w:r>
              <w:rPr>
                <w:rStyle w:val="24"/>
                <w:rFonts w:hint="eastAsia" w:ascii="方正仿宋_GBK" w:hAnsi="方正仿宋_GBK" w:eastAsia="方正仿宋_GBK" w:cs="方正仿宋_GBK"/>
                <w:sz w:val="21"/>
                <w:szCs w:val="21"/>
                <w:lang w:val="en-US" w:eastAsia="zh-CN" w:bidi="ar"/>
              </w:rPr>
              <w:t>（需提供相关证书的复印件，原件备查）</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88" w:type="dxa"/>
            <w:vMerge w:val="restart"/>
            <w:tcBorders>
              <w:top w:val="single" w:color="auto" w:sz="4" w:space="0"/>
              <w:left w:val="single" w:color="auto" w:sz="4"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商务部分（30%）</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4"/>
                <w:rFonts w:hint="eastAsia" w:ascii="方正仿宋_GBK" w:hAnsi="方正仿宋_GBK" w:eastAsia="方正仿宋_GBK" w:cs="方正仿宋_GBK"/>
                <w:sz w:val="21"/>
                <w:szCs w:val="21"/>
                <w:lang w:val="en-US" w:eastAsia="zh-CN" w:bidi="ar"/>
              </w:rPr>
              <w:t>服务团队</w:t>
            </w:r>
            <w:r>
              <w:rPr>
                <w:rStyle w:val="24"/>
                <w:rFonts w:hint="eastAsia" w:ascii="方正仿宋_GBK" w:hAnsi="方正仿宋_GBK" w:eastAsia="方正仿宋_GBK" w:cs="方正仿宋_GBK"/>
                <w:sz w:val="21"/>
                <w:szCs w:val="21"/>
                <w:lang w:val="en-US" w:eastAsia="zh-CN" w:bidi="ar"/>
              </w:rPr>
              <w:br w:type="textWrapping"/>
            </w:r>
            <w:r>
              <w:rPr>
                <w:rStyle w:val="24"/>
                <w:rFonts w:hint="eastAsia" w:ascii="方正仿宋_GBK" w:hAnsi="方正仿宋_GBK" w:eastAsia="方正仿宋_GBK" w:cs="方正仿宋_GBK"/>
                <w:sz w:val="21"/>
                <w:szCs w:val="21"/>
                <w:lang w:val="en-US" w:eastAsia="zh-CN" w:bidi="ar"/>
              </w:rPr>
              <w:t>（</w:t>
            </w:r>
            <w:r>
              <w:rPr>
                <w:rStyle w:val="23"/>
                <w:rFonts w:hint="eastAsia" w:ascii="方正仿宋_GBK" w:hAnsi="方正仿宋_GBK" w:eastAsia="方正仿宋_GBK" w:cs="方正仿宋_GBK"/>
                <w:sz w:val="21"/>
                <w:szCs w:val="21"/>
                <w:lang w:val="en-US" w:eastAsia="zh-CN" w:bidi="ar"/>
              </w:rPr>
              <w:t>12</w:t>
            </w:r>
            <w:r>
              <w:rPr>
                <w:rStyle w:val="24"/>
                <w:rFonts w:hint="eastAsia" w:ascii="方正仿宋_GBK" w:hAnsi="方正仿宋_GBK" w:eastAsia="方正仿宋_GBK" w:cs="方正仿宋_GBK"/>
                <w:sz w:val="21"/>
                <w:szCs w:val="21"/>
                <w:lang w:val="en-US" w:eastAsia="zh-CN" w:bidi="ar"/>
              </w:rPr>
              <w:t>分）</w:t>
            </w:r>
          </w:p>
        </w:tc>
        <w:tc>
          <w:tcPr>
            <w:tcW w:w="56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1.项目服务团队人员数量3人（包括项目经理、网络工程师和系统工程师）。人员配置完善得6分，每缺一人扣2分，扣完为止。</w:t>
            </w: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3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为保障交付质量，服务人员中项目经理应具有ITSS项目经理认证，网络工程师应具有人社局和工信部颁发的网络工程师认证，系统工程师应具有Linux操作系统认证。人员证书配置完善得6分，每缺一项扣2分，未提供不得分。</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（需提供服务团队人员名单及简历、近一年的社保证明和人员证书复印件，原件备查）。</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4"/>
                <w:rFonts w:hint="eastAsia" w:ascii="方正仿宋_GBK" w:hAnsi="方正仿宋_GBK" w:eastAsia="方正仿宋_GBK" w:cs="方正仿宋_GBK"/>
                <w:sz w:val="21"/>
                <w:szCs w:val="21"/>
                <w:lang w:val="en-US" w:eastAsia="zh-CN" w:bidi="ar"/>
              </w:rPr>
              <w:t>业绩</w:t>
            </w:r>
            <w:r>
              <w:rPr>
                <w:rStyle w:val="24"/>
                <w:rFonts w:hint="eastAsia" w:ascii="方正仿宋_GBK" w:hAnsi="方正仿宋_GBK" w:eastAsia="方正仿宋_GBK" w:cs="方正仿宋_GBK"/>
                <w:sz w:val="21"/>
                <w:szCs w:val="21"/>
                <w:lang w:val="en-US" w:eastAsia="zh-CN" w:bidi="ar"/>
              </w:rPr>
              <w:br w:type="textWrapping"/>
            </w:r>
            <w:r>
              <w:rPr>
                <w:rStyle w:val="24"/>
                <w:rFonts w:hint="eastAsia" w:ascii="方正仿宋_GBK" w:hAnsi="方正仿宋_GBK" w:eastAsia="方正仿宋_GBK" w:cs="方正仿宋_GBK"/>
                <w:sz w:val="21"/>
                <w:szCs w:val="21"/>
                <w:lang w:val="en-US" w:eastAsia="zh-CN" w:bidi="ar"/>
              </w:rPr>
              <w:t>（</w:t>
            </w:r>
            <w:r>
              <w:rPr>
                <w:rStyle w:val="23"/>
                <w:rFonts w:hint="eastAsia" w:ascii="方正仿宋_GBK" w:hAnsi="方正仿宋_GBK" w:eastAsia="方正仿宋_GBK" w:cs="方正仿宋_GBK"/>
                <w:sz w:val="21"/>
                <w:szCs w:val="21"/>
                <w:lang w:val="en-US" w:eastAsia="zh-CN" w:bidi="ar"/>
              </w:rPr>
              <w:t>10</w:t>
            </w:r>
            <w:r>
              <w:rPr>
                <w:rStyle w:val="24"/>
                <w:rFonts w:hint="eastAsia" w:ascii="方正仿宋_GBK" w:hAnsi="方正仿宋_GBK" w:eastAsia="方正仿宋_GBK" w:cs="方正仿宋_GBK"/>
                <w:sz w:val="21"/>
                <w:szCs w:val="21"/>
                <w:lang w:val="en-US" w:eastAsia="zh-CN" w:bidi="ar"/>
              </w:rPr>
              <w:t>分）</w:t>
            </w:r>
          </w:p>
        </w:tc>
        <w:tc>
          <w:tcPr>
            <w:tcW w:w="56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2023年1月1日至投标截止时间（以合同签订时间为准），供应商具有与本项目类似的业绩，每提供1个合同得2分；本项目最多得10分；未提供不得分。</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1.提供业绩合同复印件，原件备查。</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3"/>
                <w:rFonts w:hint="eastAsia" w:ascii="方正仿宋_GBK" w:hAnsi="方正仿宋_GBK" w:eastAsia="方正仿宋_GBK" w:cs="方正仿宋_GBK"/>
                <w:sz w:val="21"/>
                <w:szCs w:val="21"/>
                <w:lang w:val="en-US" w:eastAsia="zh-CN" w:bidi="ar"/>
              </w:rPr>
              <w:t>2.</w:t>
            </w:r>
            <w:r>
              <w:rPr>
                <w:rStyle w:val="24"/>
                <w:rFonts w:hint="eastAsia" w:ascii="方正仿宋_GBK" w:hAnsi="方正仿宋_GBK" w:eastAsia="方正仿宋_GBK" w:cs="方正仿宋_GBK"/>
                <w:sz w:val="21"/>
                <w:szCs w:val="21"/>
                <w:lang w:val="en-US" w:eastAsia="zh-CN" w:bidi="ar"/>
              </w:rPr>
              <w:t>业绩为同一项目的合同不重复得分。</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5" w:hRule="atLeast"/>
        </w:trPr>
        <w:tc>
          <w:tcPr>
            <w:tcW w:w="988" w:type="dxa"/>
            <w:vMerge w:val="continue"/>
            <w:tcBorders>
              <w:top w:val="nil"/>
              <w:left w:val="single" w:color="auto" w:sz="4" w:space="0"/>
              <w:bottom w:val="single" w:color="000000" w:sz="12"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企业认证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（8分）</w:t>
            </w:r>
          </w:p>
        </w:tc>
        <w:tc>
          <w:tcPr>
            <w:tcW w:w="56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供应商具有IT技术服务管理体系认证、质量管理体系认证、环境管理体系认证、职业健康安全管理体系。每提供1类证书得2分；本项目最多得8分；未提供不得分。</w:t>
            </w: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988"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6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供应商提供证书复印件，原件备查。</w:t>
            </w: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bl>
    <w:p>
      <w:pPr>
        <w:pageBreakBefore w:val="0"/>
        <w:tabs>
          <w:tab w:val="left" w:pos="3045"/>
          <w:tab w:val="left" w:pos="8310"/>
        </w:tabs>
        <w:kinsoku/>
        <w:wordWrap w:val="0"/>
        <w:overflowPunct/>
        <w:topLinePunct w:val="0"/>
        <w:autoSpaceDE w:val="0"/>
        <w:autoSpaceDN w:val="0"/>
        <w:bidi w:val="0"/>
        <w:adjustRightInd w:val="0"/>
        <w:snapToGrid w:val="0"/>
        <w:spacing w:line="560" w:lineRule="atLeas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10"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式贰份，其中正本壹份，副本壹份；副本可为正本的复印件，应与正本一致，如出现不一致情况以正本为准。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3.比选文件的正本、副本均采用信封分别密封送达到比选地点。信封上注明项目名称、供应商名称。若正本、副本分别进行密封的，还应在封套上注明“正本”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“副本”字样。信封的封口应加盖比选申请人公章或法定代表人或其授权代表签字。</w:t>
      </w:r>
    </w:p>
    <w:p>
      <w:pPr>
        <w:keepNext w:val="0"/>
        <w:keepLines w:val="0"/>
        <w:pageBreakBefore w:val="0"/>
        <w:widowControl/>
        <w:kinsoku/>
        <w:wordWrap/>
        <w:overflowPunct/>
        <w:topLinePunct w:val="0"/>
        <w:bidi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以人民币报价，设最高限价。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4.报价超过最高限价的。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5.比选申请人提供的比选文件内容有与国家现行法律法规相违背的内容，或附有比选人无法接受的条件。</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6.本项目不允许分包。</w:t>
      </w:r>
    </w:p>
    <w:p>
      <w:pPr>
        <w:keepNext w:val="0"/>
        <w:keepLines w:val="0"/>
        <w:pageBreakBefore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10"/>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widowControl/>
        <w:jc w:val="left"/>
        <w:rPr>
          <w:rFonts w:ascii="方正仿宋_GBK" w:hAnsi="方正仿宋_GBK" w:eastAsia="方正仿宋_GBK" w:cs="方正仿宋_GBK"/>
          <w:b/>
          <w:sz w:val="32"/>
          <w:szCs w:val="32"/>
          <w:highlight w:val="yellow"/>
        </w:rPr>
        <w:sectPr>
          <w:footerReference r:id="rId3" w:type="default"/>
          <w:pgSz w:w="11906" w:h="16838"/>
          <w:pgMar w:top="1803" w:right="1440" w:bottom="1803" w:left="1440" w:header="851" w:footer="992" w:gutter="0"/>
          <w:cols w:space="720" w:num="1"/>
          <w:docGrid w:type="lines" w:linePitch="312" w:charSpace="0"/>
        </w:sectPr>
      </w:pPr>
      <w:bookmarkStart w:id="11" w:name="_Toc12789074"/>
      <w:r>
        <w:rPr>
          <w:rFonts w:hint="eastAsia" w:ascii="方正仿宋_GBK" w:hAnsi="方正仿宋_GBK" w:eastAsia="方正仿宋_GBK" w:cs="方正仿宋_GBK"/>
          <w:b/>
          <w:bCs/>
          <w:snapToGrid w:val="0"/>
          <w:kern w:val="0"/>
          <w:sz w:val="32"/>
          <w:szCs w:val="32"/>
        </w:rPr>
        <w:br w:type="page"/>
      </w:r>
    </w:p>
    <w:p>
      <w:pPr>
        <w:pStyle w:val="6"/>
        <w:rPr>
          <w:rFonts w:hint="eastAsia" w:ascii="方正小标宋_GBK" w:hAnsi="方正小标宋_GBK" w:eastAsia="方正小标宋_GBK" w:cs="方正小标宋_GBK"/>
          <w:b w:val="0"/>
          <w:bCs/>
          <w:sz w:val="44"/>
          <w:szCs w:val="44"/>
        </w:rPr>
      </w:pPr>
      <w:r>
        <w:rPr>
          <w:rFonts w:hint="eastAsia" w:ascii="方正黑体_GBK" w:hAnsi="方正黑体_GBK" w:eastAsia="方正黑体_GBK" w:cs="方正黑体_GBK"/>
          <w:b w:val="0"/>
          <w:bCs/>
          <w:szCs w:val="32"/>
          <w:lang w:val="en-US" w:eastAsia="zh-CN"/>
        </w:rPr>
        <w:t>附件：</w:t>
      </w:r>
      <w:bookmarkStart w:id="12" w:name="_GoBack"/>
      <w:bookmarkEnd w:id="12"/>
    </w:p>
    <w:p>
      <w:pPr>
        <w:pStyle w:val="2"/>
        <w:keepNext/>
        <w:keepLines/>
        <w:pageBreakBefore w:val="0"/>
        <w:widowControl w:val="0"/>
        <w:kinsoku/>
        <w:wordWrap/>
        <w:overflowPunct/>
        <w:topLinePunct w:val="0"/>
        <w:autoSpaceDE/>
        <w:autoSpaceDN/>
        <w:bidi w:val="0"/>
        <w:adjustRightInd/>
        <w:snapToGrid/>
        <w:spacing w:line="440" w:lineRule="exact"/>
        <w:ind w:firstLine="3080" w:firstLineChars="700"/>
        <w:jc w:val="both"/>
        <w:textAlignment w:val="auto"/>
        <w:outlineLvl w:val="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机房</w:t>
      </w:r>
      <w:r>
        <w:rPr>
          <w:rFonts w:hint="eastAsia" w:ascii="方正小标宋_GBK" w:hAnsi="方正小标宋_GBK" w:eastAsia="方正小标宋_GBK" w:cs="方正小标宋_GBK"/>
          <w:b w:val="0"/>
          <w:bCs/>
          <w:sz w:val="44"/>
          <w:szCs w:val="44"/>
        </w:rPr>
        <w:t>设备清单</w:t>
      </w:r>
    </w:p>
    <w:tbl>
      <w:tblPr>
        <w:tblStyle w:val="16"/>
        <w:tblW w:w="8488" w:type="dxa"/>
        <w:tblInd w:w="0" w:type="dxa"/>
        <w:tblLayout w:type="fixed"/>
        <w:tblCellMar>
          <w:top w:w="0" w:type="dxa"/>
          <w:left w:w="108" w:type="dxa"/>
          <w:bottom w:w="0" w:type="dxa"/>
          <w:right w:w="108" w:type="dxa"/>
        </w:tblCellMar>
      </w:tblPr>
      <w:tblGrid>
        <w:gridCol w:w="706"/>
        <w:gridCol w:w="1628"/>
        <w:gridCol w:w="1846"/>
        <w:gridCol w:w="1299"/>
        <w:gridCol w:w="3009"/>
      </w:tblGrid>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b/>
                <w:bCs/>
                <w:color w:val="000000"/>
                <w:sz w:val="22"/>
              </w:rPr>
            </w:pPr>
            <w:r>
              <w:rPr>
                <w:rFonts w:hint="eastAsia" w:ascii="宋体" w:hAnsi="宋体" w:cs="宋体"/>
                <w:b/>
                <w:bCs/>
                <w:color w:val="000000"/>
                <w:kern w:val="0"/>
                <w:sz w:val="22"/>
              </w:rPr>
              <w:t>序号</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b/>
                <w:bCs/>
                <w:color w:val="000000"/>
                <w:sz w:val="22"/>
              </w:rPr>
            </w:pPr>
            <w:r>
              <w:rPr>
                <w:rFonts w:hint="eastAsia" w:ascii="宋体" w:hAnsi="宋体" w:cs="宋体"/>
                <w:b/>
                <w:bCs/>
                <w:color w:val="000000"/>
                <w:kern w:val="0"/>
                <w:sz w:val="22"/>
              </w:rPr>
              <w:t>设备类型</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b/>
                <w:bCs/>
                <w:color w:val="000000"/>
                <w:sz w:val="22"/>
              </w:rPr>
            </w:pPr>
            <w:r>
              <w:rPr>
                <w:rFonts w:hint="eastAsia" w:ascii="宋体" w:hAnsi="宋体" w:cs="宋体"/>
                <w:b/>
                <w:bCs/>
                <w:color w:val="000000"/>
                <w:kern w:val="0"/>
                <w:sz w:val="22"/>
              </w:rPr>
              <w:t>设备型号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b/>
                <w:bCs/>
                <w:color w:val="000000"/>
                <w:sz w:val="22"/>
              </w:rPr>
            </w:pPr>
            <w:r>
              <w:rPr>
                <w:rFonts w:hint="eastAsia" w:ascii="宋体" w:hAnsi="宋体" w:cs="宋体"/>
                <w:b/>
                <w:bCs/>
                <w:color w:val="000000"/>
                <w:kern w:val="0"/>
                <w:sz w:val="22"/>
              </w:rPr>
              <w:t>设备厂商</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b/>
                <w:bCs/>
                <w:color w:val="000000"/>
                <w:sz w:val="22"/>
              </w:rPr>
            </w:pPr>
            <w:r>
              <w:rPr>
                <w:rFonts w:hint="eastAsia" w:ascii="宋体" w:hAnsi="宋体" w:cs="宋体"/>
                <w:b/>
                <w:bCs/>
                <w:color w:val="000000"/>
                <w:kern w:val="0"/>
                <w:sz w:val="22"/>
              </w:rPr>
              <w:t>序列号</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219801A12S5244L0009K</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9800166303210794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9800166303193090</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ascii="Arial" w:hAnsi="Arial" w:cs="Arial"/>
                <w:color w:val="000000"/>
                <w:sz w:val="20"/>
                <w:szCs w:val="20"/>
              </w:rPr>
            </w:pPr>
            <w:r>
              <w:rPr>
                <w:rFonts w:ascii="Arial" w:hAnsi="Arial" w:cs="Arial"/>
                <w:color w:val="000000"/>
                <w:kern w:val="0"/>
                <w:sz w:val="20"/>
                <w:szCs w:val="20"/>
              </w:rPr>
              <w:t xml:space="preserve"> </w:t>
            </w:r>
            <w:r>
              <w:rPr>
                <w:rStyle w:val="23"/>
                <w:rFonts w:hint="default"/>
              </w:rPr>
              <w:t>6101814203679122</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6101814203679118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  DL320e G8 V2</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6CU5118XWF</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国信 SVS-2000C</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国信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E6GGVA19002739I40</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CN791009M7</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CN791009M2</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CN791009M3</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9800166303193082</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 R840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9800166303210791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DL580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CN791009M5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DL388 G10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CN790500S9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DELL  EMO R240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DELL</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62XSBD3</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19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R620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6101832503751309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R620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6101832503751308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R620 G30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NETTRIX</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6101832503751318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台式机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联想 启天M4650-N000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联想</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P504YTHQ</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存储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MSA 2050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7CE836A131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存储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MSA 2050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7CE836A125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存储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MSA 2050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ACM122T0GH</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SAN交换机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SN3000B</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CZC904259C</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SAN交换机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HPE SN3600B </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CZC029W30R</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SAN交换机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HPE SN3600B </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CZC104W86V</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29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SAN交换机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 SN3000B</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HPE</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CZC90425EM</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专线设备</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OPTIX METRO</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华为</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2102310MDU10L7000225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网络交换机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 7003E</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210235A1YAX2060000KD</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网络交换机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 7003E</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210235A1YAX2060000J4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网络交换机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 S5130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219801A1AN9203Q00149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VPN</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VPN-1000 B1120D</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WAZCEB0679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VPN</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VPN-1000 B1120D</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WAZCEB0676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VPN</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TV-B1204</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天融信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Q200853864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SECPATH-100-C-G2</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219801A0X3916BQ00707</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SECPATH F1000-C8120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219801A1PR921CQ0001T</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39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 RG-WALL 1600-M6600锐捷</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锐捷 </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H1MD7FZ00226A</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AF-1000 B1200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5017516716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DAS-TGFW-1900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01012023A00140CCC4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DAS-TGFW-1900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01012023A001398FAF</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AF-1000 B1200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5017516728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WAF</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 WAF-1000 B1200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5058012354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网闸</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DSE3000-TG10M</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奇安信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DL34000986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网闸</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DSE3000-TG10M</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奇安信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DL34000986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网闸</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G1500-TY20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网神</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DL22000048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网闸</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GAP-1000 A600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深信服</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5011047244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49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审计</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DBF3000-TF30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奇安信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DL11000149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堡垒机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RAS-ACA-CRH8200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齐治科技</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OPC-TJY21-JP368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IDS</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DAS-ATP-150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01010622900001SEC46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流量控制</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DAS-ABL-SP600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2209X230104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分析平台</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2U Rack server</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9400069503091500</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审计</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DAS-USM</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2112X094431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审计</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 LAS-R32P</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奇安信</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DG28000160</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数据库加密</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FLK-XC-CDE-DBE</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安恒</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01120223B0000274D7</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身份认证</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吉大正元</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吉大正元</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AT23121405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身份认证</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吉大正元</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吉大正元</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AT23121408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59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 xml:space="preserve">H3C MiniS24G-U </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219801A2AC9221Q0014H</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219801A12S5244L0009P</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219801A12S5244L0009D</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核心交换机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LS-7506X-X</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210235A2WJX2430C700W</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核心交换机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LS-7506X-X</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210235A2WJX2430C700Y</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219801A12S5244L0005L</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台式机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联想 启天M420-D046</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联想</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YLX0P4E9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67</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SUMA R520-H40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SUMA</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9800200308361797</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68</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SUMA R520-H40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SUMA</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9800200308361794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69</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70</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LS-5130S-28S-HI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219801A12S5244L0009H</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71</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存储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DS800 K40</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SUMA</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9800190108259919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72</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防火墙</w:t>
            </w:r>
          </w:p>
        </w:tc>
        <w:tc>
          <w:tcPr>
            <w:tcW w:w="1846" w:type="dxa"/>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260" w:lineRule="exact"/>
              <w:jc w:val="center"/>
              <w:outlineLvl w:val="9"/>
              <w:rPr>
                <w:rFonts w:hint="eastAsia" w:ascii="宋体" w:hAnsi="宋体" w:cs="宋体"/>
                <w:color w:val="000000"/>
                <w:sz w:val="20"/>
                <w:szCs w:val="20"/>
              </w:rPr>
            </w:pPr>
            <w:r>
              <w:rPr>
                <w:rFonts w:hint="eastAsia" w:ascii="宋体" w:hAnsi="宋体" w:cs="宋体"/>
                <w:color w:val="000000"/>
                <w:sz w:val="20"/>
                <w:szCs w:val="20"/>
              </w:rPr>
              <w:t>中华卫士防火墙G2000-E-S</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卫士通</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WTASNETFW10LX2KATK1064F4XG2S01021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73</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 R4930 G5</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210235A4BM5248C000Z0</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74</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 R4930 G5</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210235A4BM5243C000NW</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75</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机架式服务器</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电科网安 SR1912-G</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电科网安</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WTACDSVL3A5K01026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2"/>
              </w:rPr>
              <w:t>76</w:t>
            </w:r>
          </w:p>
        </w:tc>
        <w:tc>
          <w:tcPr>
            <w:tcW w:w="1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接入交换机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S5130V2-28P-SI</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H3C</w:t>
            </w:r>
          </w:p>
        </w:tc>
        <w:tc>
          <w:tcPr>
            <w:tcW w:w="3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outlineLvl w:val="9"/>
              <w:rPr>
                <w:rFonts w:hint="eastAsia" w:ascii="宋体" w:hAnsi="宋体" w:cs="宋体"/>
                <w:color w:val="000000"/>
                <w:sz w:val="20"/>
                <w:szCs w:val="20"/>
              </w:rPr>
            </w:pPr>
            <w:r>
              <w:rPr>
                <w:rFonts w:hint="eastAsia" w:ascii="宋体" w:hAnsi="宋体" w:cs="宋体"/>
                <w:color w:val="000000"/>
                <w:kern w:val="0"/>
                <w:sz w:val="20"/>
                <w:szCs w:val="20"/>
              </w:rPr>
              <w:t>219801A4S27251K100DZ</w:t>
            </w:r>
          </w:p>
        </w:tc>
      </w:tr>
    </w:tbl>
    <w:p>
      <w:pPr>
        <w:keepNext w:val="0"/>
        <w:keepLines w:val="0"/>
        <w:pageBreakBefore w:val="0"/>
        <w:kinsoku/>
        <w:wordWrap/>
        <w:overflowPunct/>
        <w:topLinePunct w:val="0"/>
        <w:autoSpaceDE/>
        <w:autoSpaceDN/>
        <w:bidi w:val="0"/>
        <w:adjustRightInd/>
        <w:snapToGrid/>
        <w:spacing w:beforeAutospacing="0" w:afterAutospacing="0" w:line="260" w:lineRule="exact"/>
        <w:outlineLvl w:val="9"/>
        <w:rPr>
          <w:rFonts w:hint="eastAsia"/>
          <w:lang w:val="en-US" w:eastAsia="zh-CN"/>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我方现提交的响应文件为：响应文件正本 份，副本</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widowControl/>
        <w:kinsoku/>
        <w:wordWrap/>
        <w:overflowPunct/>
        <w:topLinePunct w:val="0"/>
        <w:bidi w:val="0"/>
        <w:spacing w:line="560" w:lineRule="exact"/>
        <w:jc w:val="center"/>
        <w:textAlignment w:val="auto"/>
        <w:rPr>
          <w:rFonts w:hint="eastAsia" w:ascii="方正黑体_GBK" w:hAnsi="方正黑体_GBK" w:eastAsia="方正黑体_GBK" w:cs="方正黑体_GBK"/>
          <w:b w:val="0"/>
          <w:bCs/>
          <w:sz w:val="44"/>
          <w:szCs w:val="44"/>
        </w:rPr>
      </w:pPr>
    </w:p>
    <w:p>
      <w:pPr>
        <w:keepNext w:val="0"/>
        <w:keepLines w:val="0"/>
        <w:pageBreakBefore w:val="0"/>
        <w:widowControl/>
        <w:kinsoku/>
        <w:wordWrap/>
        <w:overflowPunct/>
        <w:topLinePunct w:val="0"/>
        <w:bidi w:val="0"/>
        <w:spacing w:line="560" w:lineRule="exact"/>
        <w:jc w:val="center"/>
        <w:textAlignment w:val="auto"/>
        <w:rPr>
          <w:rFonts w:hint="eastAsia" w:ascii="方正黑体_GBK" w:hAnsi="方正黑体_GBK" w:eastAsia="方正黑体_GBK" w:cs="方正黑体_GBK"/>
          <w:b w:val="0"/>
          <w:bCs/>
          <w:sz w:val="44"/>
          <w:szCs w:val="44"/>
        </w:rPr>
      </w:pPr>
      <w:r>
        <w:rPr>
          <w:rFonts w:hint="eastAsia" w:ascii="方正黑体_GBK" w:hAnsi="方正黑体_GBK" w:eastAsia="方正黑体_GBK" w:cs="方正黑体_GBK"/>
          <w:b w:val="0"/>
          <w:bCs/>
          <w:sz w:val="44"/>
          <w:szCs w:val="44"/>
        </w:rPr>
        <w:t>法定代表人（单位负责人）身份证明</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姓名：性别：年龄：职务：</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系（</w:t>
      </w:r>
      <w:r>
        <w:rPr>
          <w:rFonts w:hint="eastAsia" w:ascii="方正仿宋_GBK" w:hAnsi="方正仿宋_GBK" w:eastAsia="方正仿宋_GBK" w:cs="方正仿宋_GBK"/>
          <w:bCs/>
          <w:sz w:val="32"/>
          <w:szCs w:val="32"/>
          <w:lang w:val="en-US" w:eastAsia="zh-CN"/>
        </w:rPr>
        <w:t>竞争性比选人</w:t>
      </w:r>
      <w:r>
        <w:rPr>
          <w:rFonts w:hint="eastAsia" w:ascii="方正仿宋_GBK" w:hAnsi="方正仿宋_GBK" w:eastAsia="方正仿宋_GBK" w:cs="方正仿宋_GBK"/>
          <w:bCs/>
          <w:sz w:val="32"/>
          <w:szCs w:val="32"/>
        </w:rPr>
        <w:t>名称）的法定代表人（单位负责人）。</w:t>
      </w:r>
    </w:p>
    <w:p>
      <w:pPr>
        <w:keepNext w:val="0"/>
        <w:keepLines w:val="0"/>
        <w:pageBreakBefore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特此证明。</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附：法定代表人（单位负责人）身份证复印件。</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tbl>
      <w:tblPr>
        <w:tblStyle w:val="16"/>
        <w:tblW w:w="8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3" w:hRule="atLeast"/>
        </w:trPr>
        <w:tc>
          <w:tcPr>
            <w:tcW w:w="8652" w:type="dxa"/>
          </w:tcPr>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法定代表人（单位负责人）身份证复印件</w:t>
            </w:r>
          </w:p>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（双面）</w:t>
            </w: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注：本身份证明需由投标人加盖单位公章。</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（单位公章）</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ind w:firstLine="5760" w:firstLineChars="18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日</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资格审查资料</w:t>
      </w:r>
    </w:p>
    <w:tbl>
      <w:tblPr>
        <w:tblStyle w:val="16"/>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hint="eastAsia"/>
          <w:lang w:val="en-US" w:eastAsia="zh-CN"/>
        </w:rPr>
      </w:pPr>
      <w:r>
        <w:rPr>
          <w:rFonts w:hint="eastAsia" w:ascii="方正仿宋_GBK" w:hAnsi="方正仿宋_GBK" w:eastAsia="方正仿宋_GBK" w:cs="方正仿宋_GBK"/>
          <w:bCs/>
          <w:sz w:val="32"/>
          <w:szCs w:val="32"/>
        </w:rPr>
        <w:t>注：表格不够可另附说明，但须投标人签字、盖公章。附营业执照副本等资料复印件。</w:t>
      </w:r>
      <w:bookmarkEnd w:id="11"/>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D56F92"/>
    <w:rsid w:val="01D84F63"/>
    <w:rsid w:val="020C09F3"/>
    <w:rsid w:val="058416B7"/>
    <w:rsid w:val="07D971C0"/>
    <w:rsid w:val="07FA3B53"/>
    <w:rsid w:val="08CC5F7D"/>
    <w:rsid w:val="093118C0"/>
    <w:rsid w:val="09B80E44"/>
    <w:rsid w:val="09C33675"/>
    <w:rsid w:val="09FA5107"/>
    <w:rsid w:val="0AAC3F0B"/>
    <w:rsid w:val="0B1D4949"/>
    <w:rsid w:val="0B561F3A"/>
    <w:rsid w:val="0B8F3F72"/>
    <w:rsid w:val="0B9A0A03"/>
    <w:rsid w:val="0C3E33A6"/>
    <w:rsid w:val="0CD06832"/>
    <w:rsid w:val="0D877244"/>
    <w:rsid w:val="0E580845"/>
    <w:rsid w:val="0FCA0177"/>
    <w:rsid w:val="10B60867"/>
    <w:rsid w:val="115716F3"/>
    <w:rsid w:val="116D5484"/>
    <w:rsid w:val="120A68C0"/>
    <w:rsid w:val="1232459D"/>
    <w:rsid w:val="130B6ECE"/>
    <w:rsid w:val="13E66E97"/>
    <w:rsid w:val="142C3EA4"/>
    <w:rsid w:val="161040E6"/>
    <w:rsid w:val="165D5D18"/>
    <w:rsid w:val="16832A07"/>
    <w:rsid w:val="175517A6"/>
    <w:rsid w:val="18010B49"/>
    <w:rsid w:val="18E46621"/>
    <w:rsid w:val="191D40AA"/>
    <w:rsid w:val="1A200E35"/>
    <w:rsid w:val="1A9056F5"/>
    <w:rsid w:val="1BCE761B"/>
    <w:rsid w:val="1DD95FC0"/>
    <w:rsid w:val="1E9644C2"/>
    <w:rsid w:val="1EFC744E"/>
    <w:rsid w:val="20316502"/>
    <w:rsid w:val="208366E3"/>
    <w:rsid w:val="23F11801"/>
    <w:rsid w:val="26474032"/>
    <w:rsid w:val="26DC62F5"/>
    <w:rsid w:val="270344B2"/>
    <w:rsid w:val="27DC61A6"/>
    <w:rsid w:val="281C2F2C"/>
    <w:rsid w:val="29F30C54"/>
    <w:rsid w:val="2A7340BD"/>
    <w:rsid w:val="2B27177F"/>
    <w:rsid w:val="2B457379"/>
    <w:rsid w:val="2C516C21"/>
    <w:rsid w:val="2CB42435"/>
    <w:rsid w:val="2DB407D7"/>
    <w:rsid w:val="2E2F34AF"/>
    <w:rsid w:val="2FCD1E28"/>
    <w:rsid w:val="30FD7908"/>
    <w:rsid w:val="31426359"/>
    <w:rsid w:val="324559FB"/>
    <w:rsid w:val="33391E02"/>
    <w:rsid w:val="34114CA0"/>
    <w:rsid w:val="35735B41"/>
    <w:rsid w:val="35A1673A"/>
    <w:rsid w:val="36B96921"/>
    <w:rsid w:val="36CC2DA1"/>
    <w:rsid w:val="378F0F85"/>
    <w:rsid w:val="378F1EAE"/>
    <w:rsid w:val="38084667"/>
    <w:rsid w:val="39155377"/>
    <w:rsid w:val="391861EE"/>
    <w:rsid w:val="39532A1E"/>
    <w:rsid w:val="39A460EA"/>
    <w:rsid w:val="39F87E40"/>
    <w:rsid w:val="3ADB32AB"/>
    <w:rsid w:val="3B3932DC"/>
    <w:rsid w:val="3B841039"/>
    <w:rsid w:val="3C2914A5"/>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CA6077"/>
    <w:rsid w:val="451C012F"/>
    <w:rsid w:val="455370C4"/>
    <w:rsid w:val="45A40E4D"/>
    <w:rsid w:val="46003033"/>
    <w:rsid w:val="46193202"/>
    <w:rsid w:val="46E67EA9"/>
    <w:rsid w:val="477F09A1"/>
    <w:rsid w:val="47933357"/>
    <w:rsid w:val="47A040B7"/>
    <w:rsid w:val="48596F6E"/>
    <w:rsid w:val="48754A4D"/>
    <w:rsid w:val="49216BD6"/>
    <w:rsid w:val="49AA2A6A"/>
    <w:rsid w:val="4AEC11F9"/>
    <w:rsid w:val="4BEB654E"/>
    <w:rsid w:val="4DA659B2"/>
    <w:rsid w:val="4DAE5E53"/>
    <w:rsid w:val="4E0D695B"/>
    <w:rsid w:val="4E19648A"/>
    <w:rsid w:val="4E2C669E"/>
    <w:rsid w:val="4E6E6B29"/>
    <w:rsid w:val="4EC8482D"/>
    <w:rsid w:val="4F8B508B"/>
    <w:rsid w:val="50C45E1D"/>
    <w:rsid w:val="518C40AC"/>
    <w:rsid w:val="51DF6EB9"/>
    <w:rsid w:val="526244F8"/>
    <w:rsid w:val="52887650"/>
    <w:rsid w:val="53643DA0"/>
    <w:rsid w:val="54D94198"/>
    <w:rsid w:val="56EA211F"/>
    <w:rsid w:val="57093A9A"/>
    <w:rsid w:val="578153EE"/>
    <w:rsid w:val="59BC288C"/>
    <w:rsid w:val="5A2A5E81"/>
    <w:rsid w:val="5BF46C83"/>
    <w:rsid w:val="5C081B8B"/>
    <w:rsid w:val="5CEF3A67"/>
    <w:rsid w:val="5D50160B"/>
    <w:rsid w:val="5E103FA6"/>
    <w:rsid w:val="5E316119"/>
    <w:rsid w:val="5F64720B"/>
    <w:rsid w:val="60DC4934"/>
    <w:rsid w:val="61EA3307"/>
    <w:rsid w:val="63DE173C"/>
    <w:rsid w:val="64166D3D"/>
    <w:rsid w:val="65400029"/>
    <w:rsid w:val="66F57C7C"/>
    <w:rsid w:val="677E3A5B"/>
    <w:rsid w:val="67B5279A"/>
    <w:rsid w:val="68F55BEE"/>
    <w:rsid w:val="6A3867E2"/>
    <w:rsid w:val="6B175F22"/>
    <w:rsid w:val="6B1879A1"/>
    <w:rsid w:val="6BB5466D"/>
    <w:rsid w:val="6C36361A"/>
    <w:rsid w:val="6D0F5465"/>
    <w:rsid w:val="6D9F6CC8"/>
    <w:rsid w:val="6FAE7E5F"/>
    <w:rsid w:val="6FDA7F8D"/>
    <w:rsid w:val="70655D68"/>
    <w:rsid w:val="713C4E72"/>
    <w:rsid w:val="71CB7DF7"/>
    <w:rsid w:val="72D1041F"/>
    <w:rsid w:val="74097FEB"/>
    <w:rsid w:val="74A45889"/>
    <w:rsid w:val="750E1C40"/>
    <w:rsid w:val="77CB522B"/>
    <w:rsid w:val="78EA55CE"/>
    <w:rsid w:val="798F506A"/>
    <w:rsid w:val="7C84634E"/>
    <w:rsid w:val="7D092B50"/>
    <w:rsid w:val="7D0B068F"/>
    <w:rsid w:val="7DA65E69"/>
    <w:rsid w:val="7DD70D4D"/>
    <w:rsid w:val="7DFD0A15"/>
    <w:rsid w:val="7E1A33B8"/>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Autospacing="1" w:afterAutospacing="1"/>
      <w:jc w:val="left"/>
    </w:pPr>
    <w:rPr>
      <w:rFonts w:cs="Times New Roman"/>
      <w:kern w:val="0"/>
    </w:rPr>
  </w:style>
  <w:style w:type="paragraph" w:customStyle="1" w:styleId="17">
    <w:name w:val="1"/>
    <w:basedOn w:val="1"/>
    <w:next w:val="8"/>
    <w:qFormat/>
    <w:uiPriority w:val="0"/>
    <w:rPr>
      <w:rFonts w:ascii="宋体" w:hAnsi="Courier New"/>
    </w:rPr>
  </w:style>
  <w:style w:type="character" w:customStyle="1" w:styleId="18">
    <w:name w:val="页眉 字符"/>
    <w:basedOn w:val="15"/>
    <w:link w:val="11"/>
    <w:qFormat/>
    <w:uiPriority w:val="0"/>
    <w:rPr>
      <w:kern w:val="2"/>
      <w:sz w:val="18"/>
      <w:szCs w:val="18"/>
    </w:rPr>
  </w:style>
  <w:style w:type="character" w:customStyle="1" w:styleId="19">
    <w:name w:val="页脚 字符"/>
    <w:basedOn w:val="15"/>
    <w:link w:val="10"/>
    <w:qFormat/>
    <w:uiPriority w:val="0"/>
    <w:rPr>
      <w:kern w:val="2"/>
      <w:sz w:val="18"/>
      <w:szCs w:val="18"/>
    </w:rPr>
  </w:style>
  <w:style w:type="paragraph" w:customStyle="1" w:styleId="20">
    <w:name w:val="列出段落1"/>
    <w:basedOn w:val="1"/>
    <w:qFormat/>
    <w:uiPriority w:val="99"/>
    <w:pPr>
      <w:ind w:firstLine="420" w:firstLineChars="200"/>
    </w:pPr>
  </w:style>
  <w:style w:type="paragraph" w:customStyle="1" w:styleId="21">
    <w:name w:val="公文标题"/>
    <w:basedOn w:val="1"/>
    <w:qFormat/>
    <w:uiPriority w:val="0"/>
    <w:pPr>
      <w:spacing w:line="560" w:lineRule="exact"/>
      <w:jc w:val="center"/>
    </w:pPr>
    <w:rPr>
      <w:rFonts w:eastAsia="方正小标宋_GBK" w:asciiTheme="minorHAnsi" w:hAnsiTheme="minorHAnsi"/>
      <w:sz w:val="44"/>
    </w:rPr>
  </w:style>
  <w:style w:type="paragraph" w:styleId="22">
    <w:name w:val="List Paragraph"/>
    <w:basedOn w:val="1"/>
    <w:qFormat/>
    <w:uiPriority w:val="99"/>
    <w:pPr>
      <w:ind w:firstLine="420" w:firstLineChars="200"/>
    </w:pPr>
  </w:style>
  <w:style w:type="character" w:customStyle="1" w:styleId="23">
    <w:name w:val="font21"/>
    <w:basedOn w:val="15"/>
    <w:qFormat/>
    <w:uiPriority w:val="0"/>
    <w:rPr>
      <w:rFonts w:hint="eastAsia" w:ascii="宋体" w:hAnsi="宋体" w:eastAsia="宋体" w:cs="宋体"/>
      <w:color w:val="000000"/>
      <w:sz w:val="20"/>
      <w:szCs w:val="20"/>
      <w:u w:val="none"/>
    </w:rPr>
  </w:style>
  <w:style w:type="character" w:customStyle="1" w:styleId="24">
    <w:name w:val="font3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4405</Words>
  <Characters>6563</Characters>
  <Lines>20</Lines>
  <Paragraphs>5</Paragraphs>
  <TotalTime>3</TotalTime>
  <ScaleCrop>false</ScaleCrop>
  <LinksUpToDate>false</LinksUpToDate>
  <CharactersWithSpaces>6675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2025-11-04T03:22:50Z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eyJoZGlkIjoiODg4NzgwN2FiZDNiMzVmYWZlYTM2YTA0OTMwZGQ2NTUiLCJ1c2VySWQiOiI1ODc3MTk1NDIifQ==</vt:lpwstr>
  </property>
  <property fmtid="{D5CDD505-2E9C-101B-9397-08002B2CF9AE}" pid="4" name="ICV">
    <vt:lpwstr>FE3A3E1A87684704A0DC23F6B225DD26_13</vt:lpwstr>
  </property>
</Properties>
</file>